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CD" w:rsidRDefault="00486BCD" w:rsidP="00486BCD">
      <w:pPr>
        <w:pStyle w:val="Cmsor1"/>
      </w:pPr>
      <w:r>
        <w:t>Részleges autonómiát hozott a kis kiegyezés</w:t>
      </w:r>
    </w:p>
    <w:p w:rsidR="00486BCD" w:rsidRDefault="00486BCD" w:rsidP="00486BCD">
      <w:pPr>
        <w:pStyle w:val="date"/>
      </w:pPr>
      <w:r>
        <w:t xml:space="preserve">2008. november 17. 07:54 </w:t>
      </w:r>
      <w:r>
        <w:rPr>
          <w:rStyle w:val="Kiemels2"/>
        </w:rPr>
        <w:t>MTI</w:t>
      </w:r>
    </w:p>
    <w:p w:rsidR="00486BCD" w:rsidRDefault="00486BCD" w:rsidP="00486BCD">
      <w:hyperlink r:id="rId4" w:history="1">
        <w:r>
          <w:rPr>
            <w:rStyle w:val="Hiperhivatkozs"/>
          </w:rPr>
          <w:t>101 ember, aki megváltoztatta a világot</w:t>
        </w:r>
      </w:hyperlink>
      <w:r>
        <w:t xml:space="preserve"> </w:t>
      </w:r>
    </w:p>
    <w:p w:rsidR="00486BCD" w:rsidRDefault="00486BCD" w:rsidP="00486BCD">
      <w:pPr>
        <w:pStyle w:val="lead"/>
      </w:pPr>
      <w:r>
        <w:t>Száznegyven éve, 1868. november 17-én Ferenc József szentesítette a magyar-horvát kiegyezést rögzítő törvényt.</w:t>
      </w:r>
    </w:p>
    <w:p w:rsidR="00486BCD" w:rsidRDefault="00486BCD" w:rsidP="00486BCD">
      <w:r>
        <w:rPr>
          <w:noProof/>
          <w:lang w:eastAsia="hu-HU"/>
        </w:rPr>
        <w:drawing>
          <wp:inline distT="0" distB="0" distL="0" distR="0">
            <wp:extent cx="4191000" cy="2514600"/>
            <wp:effectExtent l="19050" t="0" r="0" b="0"/>
            <wp:docPr id="48" name="Kép 48" descr="http://mult-kor.hu/image/article/main/.630x1260/16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mult-kor.hu/image/article/main/.630x1260/168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BCD" w:rsidRDefault="00486BCD" w:rsidP="00486BCD">
      <w:pPr>
        <w:pStyle w:val="Cmsor5"/>
      </w:pPr>
      <w:r>
        <w:t>Fiuméről nem sikerült megállapodni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70"/>
      </w:tblGrid>
      <w:tr w:rsidR="00486BCD" w:rsidTr="00081A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6BCD" w:rsidRDefault="00486BCD" w:rsidP="00081A19">
            <w:pPr>
              <w:spacing w:line="0" w:lineRule="auto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hirdetés</w:t>
            </w:r>
          </w:p>
        </w:tc>
      </w:tr>
    </w:tbl>
    <w:p w:rsidR="00486BCD" w:rsidRDefault="00486BCD" w:rsidP="00486BCD">
      <w:pPr>
        <w:pStyle w:val="NormlWeb"/>
      </w:pPr>
      <w:r>
        <w:t xml:space="preserve">Az Itáliától és Poroszországtól 1859-ben és 1866-ban elszenvedett vereségek után az osztrák udvarnak be kellett látnia, hogy abszolutisztikus törekvéseiről le kell mondania. Magyarországon még élénken élt az emberek emlékezetében az 1848-as alkotmány, amely annak idején megteremtette a polgári államrend alapjait. Mindkét fél a kompromisszumra hajlott, ennek eredményeként 1867-ben a létrejött a dualista államszerkezet, a korabeli Európában egyedülálló kiegyezés. </w:t>
      </w:r>
      <w:hyperlink r:id="rId6" w:history="1">
        <w:r>
          <w:rPr>
            <w:rStyle w:val="Hiperhivatkozs"/>
          </w:rPr>
          <w:t xml:space="preserve">1867. június 8-án </w:t>
        </w:r>
        <w:proofErr w:type="spellStart"/>
        <w:r>
          <w:rPr>
            <w:rStyle w:val="Hiperhivatkozs"/>
          </w:rPr>
          <w:t>legitimizálták</w:t>
        </w:r>
        <w:proofErr w:type="spellEnd"/>
        <w:r>
          <w:rPr>
            <w:rStyle w:val="Hiperhivatkozs"/>
          </w:rPr>
          <w:t xml:space="preserve"> az addigi uralkodót, Ferenc Józsefet</w:t>
        </w:r>
      </w:hyperlink>
      <w:r>
        <w:t>.</w:t>
      </w:r>
      <w:r>
        <w:br/>
      </w:r>
      <w:r>
        <w:br/>
      </w:r>
      <w:proofErr w:type="gramStart"/>
      <w:r>
        <w:t>A</w:t>
      </w:r>
      <w:proofErr w:type="gramEnd"/>
      <w:r>
        <w:t xml:space="preserve"> kiegyezési törvény csak a magyar korona és az uralkodó többi országa közötti jogviszony szabályozásáról szólt és nem foglalkozott Magyarország belső nemzetiségi kérdéseivel. Rendezni kellet többek között a közjogi önállósággal bíró Horvátország helyzetét a hét és fél évszázados magyar-horvát államközösség alapján. 1848-ban Magyarország és Horvátország között minden államjogi kapcsolat megszakadt. Horvátország hajlandó volt a kapcsolatok megújítására, ha Magyarország elismeri területi igényeit (Fiume, határőrvidék, Dalmácia) és önállóságát.</w:t>
      </w:r>
      <w:r>
        <w:br/>
      </w:r>
      <w:r>
        <w:br/>
        <w:t>Az első horvát és magyar küldöttségek tárgyalásainak kudarca után a horvát országgyűlés (</w:t>
      </w:r>
      <w:proofErr w:type="spellStart"/>
      <w:r>
        <w:t>szábor</w:t>
      </w:r>
      <w:proofErr w:type="spellEnd"/>
      <w:r>
        <w:t xml:space="preserve">) önállóan akarta rendezni viszonyát a Monarchia országaival. Az újonnan megválasztott horvát báni helytartó segítségével azonban a </w:t>
      </w:r>
      <w:proofErr w:type="spellStart"/>
      <w:r>
        <w:t>szábor</w:t>
      </w:r>
      <w:proofErr w:type="spellEnd"/>
      <w:r>
        <w:t xml:space="preserve"> küldöttsége mégis elfogadta a magyar kormány kiegyezési feltételeit. Megszületett az úgynevezett kis kiegyezés, amely szerint a két ország államközösséget alkot, de Horvátország </w:t>
      </w:r>
      <w:r>
        <w:rPr>
          <w:rStyle w:val="Kiemels"/>
        </w:rPr>
        <w:t>"külön területtel bíró politikai nemzet, s belügyei tekintetében saját törvényhozással és autonóm kormányzattal bír".</w:t>
      </w:r>
      <w:r>
        <w:br/>
      </w:r>
      <w:r>
        <w:lastRenderedPageBreak/>
        <w:br/>
        <w:t>A "belügyek" alatt a közigazgatást, az igazságszolgáltatást, valamint a vallás- és közoktatásügyet értették, minden egyébben a budapesti parlament szava döntött. Magyarországgal közös ügy volt az udvartartás költsége, az újoncmegajánlás, a véderő, és az ezekkel kapcsolatos pénzügyek. A horvátot hivatalos nyelvként használhatták a belső közigazgatásban. A zágrábi autonóm kormány élén a bán állt, a magyar kormányban pedig egy tárca nélküli miniszter foglalkozott a társország ügyeivel.</w:t>
      </w:r>
      <w:r>
        <w:br/>
      </w:r>
      <w:r>
        <w:br/>
        <w:t xml:space="preserve">A budapesti parlamentben a horvát országgyűlés 42 küldötte képviselte a horvát érdekeket. Külön zászlót és címert használhattak, a horvát honvédségnél a horvát volt a vezényleti nyelv. Az egyezmény elismerte Horvátország területi igényét a horvát-szlavón Határőrvidékre, melynek horvát részét később Horvátországhoz csatolták. Dalmácia azonban Ausztria része maradt. Nem jött létre megegyezés Fiume kérdésében, ezért 1870-ben létrehozták a fiumei provizóriumot, így a város </w:t>
      </w:r>
      <w:r>
        <w:rPr>
          <w:rStyle w:val="Kiemels"/>
        </w:rPr>
        <w:t xml:space="preserve">"a magyar koronához csatolt külön testként" </w:t>
      </w:r>
      <w:r>
        <w:t>a magyar kormány fennhatósága alá tartozott.</w:t>
      </w:r>
      <w:r>
        <w:br/>
      </w:r>
      <w:r>
        <w:br/>
        <w:t>Bár az 1868. évi horvát-magyar kiegyezés Európában példátlanul széles körű önkormányzatot biztosított a horvátoknak, a horvát államiságról szóló horvát elképzelések mégis sérelmet szenvedtek, ezért a dualizmus alatt mindvégig küzdöttek az autonómia kiszélesítéséért és a teljes pénzügyi önkormányzatért.</w:t>
      </w:r>
    </w:p>
    <w:p w:rsidR="00486BCD" w:rsidRDefault="00486BCD" w:rsidP="00486BCD">
      <w:pPr>
        <w:pStyle w:val="NormlWeb"/>
      </w:pPr>
      <w:r>
        <w:t>Forrás:</w:t>
      </w:r>
    </w:p>
    <w:p w:rsidR="00486BCD" w:rsidRDefault="00486BCD" w:rsidP="00486BCD">
      <w:pPr>
        <w:pStyle w:val="NormlWeb"/>
      </w:pPr>
      <w:hyperlink r:id="rId7" w:history="1">
        <w:r w:rsidRPr="00B73311">
          <w:rPr>
            <w:rStyle w:val="Hiperhivatkozs"/>
          </w:rPr>
          <w:t>http://mult-kor.hu/20081117_reszleges_autonomiat_hozott_a_kis_kiegyezes</w:t>
        </w:r>
      </w:hyperlink>
    </w:p>
    <w:p w:rsidR="007A3463" w:rsidRDefault="007A3463"/>
    <w:sectPr w:rsidR="007A3463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26B6"/>
    <w:rsid w:val="00013719"/>
    <w:rsid w:val="0002616E"/>
    <w:rsid w:val="00050508"/>
    <w:rsid w:val="003A33E9"/>
    <w:rsid w:val="0042037B"/>
    <w:rsid w:val="00486BCD"/>
    <w:rsid w:val="00573720"/>
    <w:rsid w:val="005E1B3A"/>
    <w:rsid w:val="006D3467"/>
    <w:rsid w:val="007A3463"/>
    <w:rsid w:val="009B7FBE"/>
    <w:rsid w:val="00A07E9C"/>
    <w:rsid w:val="00C3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6BCD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86B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505E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  <w:style w:type="character" w:customStyle="1" w:styleId="Cmsor5Char">
    <w:name w:val="Címsor 5 Char"/>
    <w:basedOn w:val="Bekezdsalapbettpusa"/>
    <w:link w:val="Cmsor5"/>
    <w:uiPriority w:val="9"/>
    <w:rsid w:val="00486BCD"/>
    <w:rPr>
      <w:rFonts w:asciiTheme="majorHAnsi" w:eastAsiaTheme="majorEastAsia" w:hAnsiTheme="majorHAnsi" w:cstheme="majorBidi"/>
      <w:color w:val="16505E" w:themeColor="accent1" w:themeShade="7F"/>
    </w:rPr>
  </w:style>
  <w:style w:type="paragraph" w:customStyle="1" w:styleId="date">
    <w:name w:val="date"/>
    <w:basedOn w:val="Norml"/>
    <w:rsid w:val="0048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86BCD"/>
    <w:rPr>
      <w:color w:val="0000FF"/>
      <w:u w:val="single"/>
    </w:rPr>
  </w:style>
  <w:style w:type="paragraph" w:customStyle="1" w:styleId="lead">
    <w:name w:val="lead"/>
    <w:basedOn w:val="Norml"/>
    <w:rsid w:val="0048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8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86BCD"/>
    <w:rPr>
      <w:b/>
      <w:bCs/>
    </w:rPr>
  </w:style>
  <w:style w:type="character" w:styleId="Kiemels">
    <w:name w:val="Emphasis"/>
    <w:basedOn w:val="Bekezdsalapbettpusa"/>
    <w:uiPriority w:val="20"/>
    <w:qFormat/>
    <w:rsid w:val="00486BCD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6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lt-kor.hu/20081117_reszleges_autonomiat_hozott_a_kis_kiegyez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lt-kor.hu/cikk.php?id=1839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ult-kor.hu/101-ember-aki-megvaltoztatta-a-vilagot---megjelent-a-mult-kor-oszi-kulonszama-2016100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DelvidekHaz Gep3</cp:lastModifiedBy>
  <cp:revision>2</cp:revision>
  <dcterms:created xsi:type="dcterms:W3CDTF">2016-12-16T10:43:00Z</dcterms:created>
  <dcterms:modified xsi:type="dcterms:W3CDTF">2016-12-16T10:44:00Z</dcterms:modified>
</cp:coreProperties>
</file>